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64B957" w14:textId="77777777" w:rsidR="00AE53BB" w:rsidRDefault="00AE53BB" w:rsidP="00AE53BB">
      <w:pPr>
        <w:pBdr>
          <w:top w:val="single" w:sz="4" w:space="1" w:color="auto"/>
          <w:left w:val="single" w:sz="4" w:space="4" w:color="auto"/>
          <w:bottom w:val="single" w:sz="4" w:space="1" w:color="auto"/>
          <w:right w:val="single" w:sz="4" w:space="4" w:color="auto"/>
        </w:pBdr>
        <w:shd w:val="clear" w:color="auto" w:fill="403152" w:themeFill="accent4" w:themeFillShade="80"/>
        <w:jc w:val="center"/>
        <w:rPr>
          <w:b/>
          <w:bCs/>
          <w:u w:val="single"/>
        </w:rPr>
      </w:pPr>
      <w:r>
        <w:rPr>
          <w:b/>
          <w:bCs/>
          <w:u w:val="single"/>
        </w:rPr>
        <w:t xml:space="preserve">ЕРАЗМУС+ </w:t>
      </w:r>
    </w:p>
    <w:p w14:paraId="06F8981F" w14:textId="1CBD8D70" w:rsidR="00AE53BB" w:rsidRPr="00F21437" w:rsidRDefault="00AE53BB" w:rsidP="00AE53BB">
      <w:pPr>
        <w:pBdr>
          <w:top w:val="single" w:sz="4" w:space="1" w:color="auto"/>
          <w:left w:val="single" w:sz="4" w:space="4" w:color="auto"/>
          <w:bottom w:val="single" w:sz="4" w:space="1" w:color="auto"/>
          <w:right w:val="single" w:sz="4" w:space="4" w:color="auto"/>
        </w:pBdr>
        <w:shd w:val="clear" w:color="auto" w:fill="403152" w:themeFill="accent4" w:themeFillShade="80"/>
        <w:jc w:val="center"/>
        <w:rPr>
          <w:b/>
          <w:bCs/>
          <w:u w:val="single"/>
        </w:rPr>
      </w:pPr>
      <w:r>
        <w:rPr>
          <w:b/>
          <w:bCs/>
          <w:u w:val="single"/>
        </w:rPr>
        <w:t>ИНДИВИДУАЛНИ МОБИЛНОСТИ - КА1</w:t>
      </w:r>
    </w:p>
    <w:p w14:paraId="12DE90FA" w14:textId="0C7ED75E" w:rsidR="00753179" w:rsidRDefault="00753179" w:rsidP="00753179">
      <w:pPr>
        <w:jc w:val="center"/>
      </w:pPr>
    </w:p>
    <w:p w14:paraId="67E4AD23" w14:textId="77777777" w:rsidR="00AE53BB" w:rsidRDefault="00AE53BB" w:rsidP="00AE53BB">
      <w:pPr>
        <w:pBdr>
          <w:top w:val="single" w:sz="4" w:space="1" w:color="auto"/>
          <w:left w:val="single" w:sz="4" w:space="4" w:color="auto"/>
          <w:bottom w:val="single" w:sz="4" w:space="1" w:color="auto"/>
          <w:right w:val="single" w:sz="4" w:space="4" w:color="auto"/>
        </w:pBdr>
        <w:shd w:val="clear" w:color="auto" w:fill="C6D9F1" w:themeFill="text2" w:themeFillTint="33"/>
        <w:jc w:val="center"/>
        <w:rPr>
          <w:b/>
          <w:bCs/>
          <w:u w:val="single"/>
        </w:rPr>
      </w:pPr>
      <w:r w:rsidRPr="00F21437">
        <w:rPr>
          <w:b/>
          <w:bCs/>
          <w:u w:val="single"/>
        </w:rPr>
        <w:t>НАСОКИ КА</w:t>
      </w:r>
      <w:r w:rsidRPr="00F21437">
        <w:rPr>
          <w:b/>
          <w:bCs/>
          <w:u w:val="single"/>
          <w:lang w:val="en-GB"/>
        </w:rPr>
        <w:t>103</w:t>
      </w:r>
      <w:r>
        <w:rPr>
          <w:b/>
          <w:bCs/>
          <w:u w:val="single"/>
        </w:rPr>
        <w:t xml:space="preserve"> и КА107</w:t>
      </w:r>
      <w:r w:rsidRPr="00F21437">
        <w:rPr>
          <w:b/>
          <w:bCs/>
          <w:u w:val="single"/>
        </w:rPr>
        <w:t xml:space="preserve"> –</w:t>
      </w:r>
      <w:r>
        <w:rPr>
          <w:b/>
          <w:bCs/>
          <w:u w:val="single"/>
        </w:rPr>
        <w:t xml:space="preserve"> ВИСОКО ОБРАЗОВАНИЕ</w:t>
      </w:r>
    </w:p>
    <w:p w14:paraId="4AD2F334" w14:textId="77777777" w:rsidR="00AE53BB" w:rsidRPr="00F21437" w:rsidRDefault="00AE53BB" w:rsidP="00AE53BB">
      <w:pPr>
        <w:pBdr>
          <w:top w:val="single" w:sz="4" w:space="1" w:color="auto"/>
          <w:left w:val="single" w:sz="4" w:space="4" w:color="auto"/>
          <w:bottom w:val="single" w:sz="4" w:space="1" w:color="auto"/>
          <w:right w:val="single" w:sz="4" w:space="4" w:color="auto"/>
        </w:pBdr>
        <w:shd w:val="clear" w:color="auto" w:fill="C6D9F1" w:themeFill="text2" w:themeFillTint="33"/>
        <w:jc w:val="center"/>
        <w:rPr>
          <w:b/>
          <w:bCs/>
          <w:u w:val="single"/>
        </w:rPr>
      </w:pPr>
      <w:r w:rsidRPr="00F21437">
        <w:rPr>
          <w:b/>
          <w:bCs/>
          <w:u w:val="single"/>
        </w:rPr>
        <w:t xml:space="preserve"> ВИРТУЕЛНИ МОБИЛНОСТИ</w:t>
      </w:r>
    </w:p>
    <w:p w14:paraId="34381E06" w14:textId="77777777" w:rsidR="00AE53BB" w:rsidRDefault="00AE53BB" w:rsidP="00753179">
      <w:pPr>
        <w:jc w:val="center"/>
      </w:pPr>
    </w:p>
    <w:p w14:paraId="67AD0190" w14:textId="4A6B3EBA" w:rsidR="00F21437" w:rsidRPr="0043197A" w:rsidRDefault="00D4327F" w:rsidP="00606C13">
      <w:pPr>
        <w:pStyle w:val="ListParagraph"/>
        <w:ind w:left="0"/>
        <w:jc w:val="both"/>
        <w:rPr>
          <w:rFonts w:ascii="Arial" w:hAnsi="Arial" w:cs="Arial"/>
        </w:rPr>
      </w:pPr>
      <w:r w:rsidRPr="0043197A">
        <w:rPr>
          <w:rFonts w:ascii="Arial" w:hAnsi="Arial" w:cs="Arial"/>
        </w:rPr>
        <w:t xml:space="preserve">Покрај </w:t>
      </w:r>
      <w:r w:rsidR="00F21437" w:rsidRPr="0043197A">
        <w:rPr>
          <w:rFonts w:ascii="Arial" w:hAnsi="Arial" w:cs="Arial"/>
        </w:rPr>
        <w:t>мобилностите со физичко присуство</w:t>
      </w:r>
      <w:r w:rsidRPr="0043197A">
        <w:rPr>
          <w:rFonts w:ascii="Arial" w:hAnsi="Arial" w:cs="Arial"/>
        </w:rPr>
        <w:t>, корисниците може да</w:t>
      </w:r>
      <w:r w:rsidR="00A678CA" w:rsidRPr="0043197A">
        <w:rPr>
          <w:rFonts w:ascii="Arial" w:hAnsi="Arial" w:cs="Arial"/>
        </w:rPr>
        <w:t xml:space="preserve"> </w:t>
      </w:r>
      <w:r w:rsidR="007E4003" w:rsidRPr="0043197A">
        <w:rPr>
          <w:rFonts w:ascii="Arial" w:hAnsi="Arial" w:cs="Arial"/>
        </w:rPr>
        <w:t xml:space="preserve">спроведуваат </w:t>
      </w:r>
      <w:r w:rsidR="00F21437" w:rsidRPr="0043197A">
        <w:rPr>
          <w:rFonts w:ascii="Arial" w:hAnsi="Arial" w:cs="Arial"/>
        </w:rPr>
        <w:t xml:space="preserve">и виртуелни мобилности/пракси. </w:t>
      </w:r>
    </w:p>
    <w:p w14:paraId="7F6C744C" w14:textId="3E8EA079" w:rsidR="00753179" w:rsidRPr="0043197A" w:rsidRDefault="00F21437" w:rsidP="00606C13">
      <w:pPr>
        <w:pStyle w:val="ListParagraph"/>
        <w:ind w:left="0"/>
        <w:jc w:val="both"/>
        <w:rPr>
          <w:rFonts w:ascii="Arial" w:hAnsi="Arial" w:cs="Arial"/>
        </w:rPr>
      </w:pPr>
      <w:r w:rsidRPr="0043197A">
        <w:rPr>
          <w:rFonts w:ascii="Arial" w:hAnsi="Arial" w:cs="Arial"/>
        </w:rPr>
        <w:t>Воедно студентите може да реализираат и комбинирани мобилности со физичко присуство и виртуелна настава/пракса.</w:t>
      </w:r>
    </w:p>
    <w:p w14:paraId="00AF1D26" w14:textId="58FDF074" w:rsidR="00E7175F" w:rsidRDefault="00E7175F" w:rsidP="00E7175F">
      <w:pPr>
        <w:pStyle w:val="ListParagraph"/>
        <w:ind w:left="0"/>
        <w:rPr>
          <w:rFonts w:ascii="Arial" w:hAnsi="Arial" w:cs="Arial"/>
          <w:sz w:val="24"/>
          <w:szCs w:val="24"/>
        </w:rPr>
      </w:pPr>
    </w:p>
    <w:p w14:paraId="20FE6E15" w14:textId="77777777" w:rsidR="00E7175F" w:rsidRPr="00E7175F" w:rsidRDefault="00E7175F" w:rsidP="00E7175F">
      <w:pPr>
        <w:pStyle w:val="ListParagraph"/>
        <w:ind w:left="0"/>
        <w:jc w:val="both"/>
        <w:rPr>
          <w:rFonts w:ascii="Arial" w:hAnsi="Arial" w:cs="Arial"/>
          <w:sz w:val="24"/>
          <w:szCs w:val="24"/>
        </w:rPr>
      </w:pPr>
    </w:p>
    <w:p w14:paraId="4E9A6AC3" w14:textId="7EDE240A" w:rsidR="00E7175F" w:rsidRPr="00E7175F" w:rsidRDefault="00E7175F" w:rsidP="00E7175F">
      <w:pPr>
        <w:pStyle w:val="ListParagraph"/>
        <w:pBdr>
          <w:top w:val="single" w:sz="4" w:space="1" w:color="auto"/>
          <w:left w:val="single" w:sz="4" w:space="4" w:color="auto"/>
          <w:bottom w:val="single" w:sz="4" w:space="1" w:color="auto"/>
          <w:right w:val="single" w:sz="4" w:space="4" w:color="auto"/>
        </w:pBdr>
        <w:ind w:left="0"/>
        <w:jc w:val="center"/>
        <w:rPr>
          <w:rFonts w:ascii="Arial" w:hAnsi="Arial" w:cs="Arial"/>
          <w:b/>
          <w:bCs/>
          <w:sz w:val="24"/>
          <w:szCs w:val="24"/>
          <w:u w:val="single"/>
        </w:rPr>
      </w:pPr>
      <w:r w:rsidRPr="00E7175F">
        <w:rPr>
          <w:rFonts w:ascii="Arial" w:hAnsi="Arial" w:cs="Arial"/>
          <w:b/>
          <w:bCs/>
          <w:sz w:val="24"/>
          <w:szCs w:val="24"/>
          <w:u w:val="single"/>
        </w:rPr>
        <w:t>Комбинирана мобилност (физичко присуство и витруелна мобилност/пракса)</w:t>
      </w:r>
    </w:p>
    <w:p w14:paraId="23304C28" w14:textId="5BD1D5B2" w:rsidR="00E7175F" w:rsidRDefault="00E7175F" w:rsidP="00753179">
      <w:pPr>
        <w:jc w:val="both"/>
      </w:pPr>
    </w:p>
    <w:p w14:paraId="1C00051A" w14:textId="071EC7D4" w:rsidR="00E7175F" w:rsidRPr="0043197A" w:rsidRDefault="00E7175F" w:rsidP="00E7175F">
      <w:pPr>
        <w:jc w:val="both"/>
        <w:rPr>
          <w:rFonts w:ascii="Arial" w:hAnsi="Arial" w:cs="Arial"/>
        </w:rPr>
      </w:pPr>
      <w:r w:rsidRPr="0043197A">
        <w:rPr>
          <w:rFonts w:ascii="Arial" w:hAnsi="Arial" w:cs="Arial"/>
        </w:rPr>
        <w:t>С</w:t>
      </w:r>
      <w:r w:rsidR="00FE6E8A" w:rsidRPr="0043197A">
        <w:rPr>
          <w:rFonts w:ascii="Arial" w:hAnsi="Arial" w:cs="Arial"/>
        </w:rPr>
        <w:t>туденти</w:t>
      </w:r>
      <w:r w:rsidRPr="0043197A">
        <w:rPr>
          <w:rFonts w:ascii="Arial" w:hAnsi="Arial" w:cs="Arial"/>
        </w:rPr>
        <w:t xml:space="preserve"> (</w:t>
      </w:r>
      <w:r w:rsidR="00FE6E8A" w:rsidRPr="0043197A">
        <w:rPr>
          <w:rFonts w:ascii="Arial" w:hAnsi="Arial" w:cs="Arial"/>
        </w:rPr>
        <w:t>мобилности и пракси</w:t>
      </w:r>
      <w:r w:rsidRPr="0043197A">
        <w:rPr>
          <w:rFonts w:ascii="Arial" w:hAnsi="Arial" w:cs="Arial"/>
        </w:rPr>
        <w:t>)</w:t>
      </w:r>
    </w:p>
    <w:p w14:paraId="2D9FC08D" w14:textId="656888E0" w:rsidR="00E7175F" w:rsidRPr="0043197A" w:rsidRDefault="00E7175F" w:rsidP="00290D4A">
      <w:pPr>
        <w:pStyle w:val="ListParagraph"/>
        <w:numPr>
          <w:ilvl w:val="0"/>
          <w:numId w:val="5"/>
        </w:numPr>
        <w:jc w:val="both"/>
        <w:rPr>
          <w:rFonts w:ascii="Arial" w:hAnsi="Arial" w:cs="Arial"/>
        </w:rPr>
      </w:pPr>
      <w:r w:rsidRPr="0043197A">
        <w:rPr>
          <w:rFonts w:ascii="Arial" w:hAnsi="Arial" w:cs="Arial"/>
        </w:rPr>
        <w:t xml:space="preserve">Доколку студентот целосно ја реализира мобилноста или праксата </w:t>
      </w:r>
      <w:r w:rsidRPr="0043197A">
        <w:rPr>
          <w:rFonts w:ascii="Arial" w:hAnsi="Arial" w:cs="Arial"/>
          <w:lang w:val="en-GB"/>
        </w:rPr>
        <w:t xml:space="preserve">Online </w:t>
      </w:r>
      <w:r w:rsidRPr="0043197A">
        <w:rPr>
          <w:rFonts w:ascii="Arial" w:hAnsi="Arial" w:cs="Arial"/>
        </w:rPr>
        <w:t>а воедно не присуствува во државата каде е потребно да се реализира мобилноста/праксата во тој случај не следуваат финансиски средства (финансиски средства се одобруваат само за организациска поддршка)</w:t>
      </w:r>
    </w:p>
    <w:p w14:paraId="7657EB57" w14:textId="62FE8576" w:rsidR="00E7175F" w:rsidRPr="0043197A" w:rsidRDefault="00E7175F" w:rsidP="00290D4A">
      <w:pPr>
        <w:pStyle w:val="ListParagraph"/>
        <w:numPr>
          <w:ilvl w:val="0"/>
          <w:numId w:val="5"/>
        </w:numPr>
        <w:jc w:val="both"/>
        <w:rPr>
          <w:rFonts w:ascii="Arial" w:hAnsi="Arial" w:cs="Arial"/>
        </w:rPr>
      </w:pPr>
      <w:r w:rsidRPr="0043197A">
        <w:rPr>
          <w:rFonts w:ascii="Arial" w:hAnsi="Arial" w:cs="Arial"/>
        </w:rPr>
        <w:t xml:space="preserve">Доколку студентот започнал да ја реализира мобилноста со физичко присуство но поради ситуацијата со КОВИД 19 наставата продолжила да се реализира </w:t>
      </w:r>
      <w:r w:rsidRPr="0043197A">
        <w:rPr>
          <w:rFonts w:ascii="Arial" w:hAnsi="Arial" w:cs="Arial"/>
          <w:lang w:val="en-GB"/>
        </w:rPr>
        <w:t xml:space="preserve">online </w:t>
      </w:r>
      <w:r w:rsidRPr="0043197A">
        <w:rPr>
          <w:rFonts w:ascii="Arial" w:hAnsi="Arial" w:cs="Arial"/>
        </w:rPr>
        <w:t>во тој случај следуваат финансиски средства за целосното време траење на мобилноста/праксата (физичко присуство + виртуелна мобилност)</w:t>
      </w:r>
    </w:p>
    <w:p w14:paraId="5952F188" w14:textId="70935C9C" w:rsidR="00E7175F" w:rsidRPr="0043197A" w:rsidRDefault="00E7175F" w:rsidP="00290D4A">
      <w:pPr>
        <w:pStyle w:val="ListParagraph"/>
        <w:numPr>
          <w:ilvl w:val="0"/>
          <w:numId w:val="5"/>
        </w:numPr>
        <w:jc w:val="both"/>
        <w:rPr>
          <w:rFonts w:ascii="Arial" w:hAnsi="Arial" w:cs="Arial"/>
        </w:rPr>
      </w:pPr>
      <w:r w:rsidRPr="0043197A">
        <w:rPr>
          <w:rFonts w:ascii="Arial" w:hAnsi="Arial" w:cs="Arial"/>
        </w:rPr>
        <w:t xml:space="preserve">Доколку студентот започнал со мобилноста </w:t>
      </w:r>
      <w:r w:rsidRPr="0043197A">
        <w:rPr>
          <w:rFonts w:ascii="Arial" w:hAnsi="Arial" w:cs="Arial"/>
          <w:lang w:val="en-GB"/>
        </w:rPr>
        <w:t xml:space="preserve">online </w:t>
      </w:r>
      <w:r w:rsidRPr="0043197A">
        <w:rPr>
          <w:rFonts w:ascii="Arial" w:hAnsi="Arial" w:cs="Arial"/>
        </w:rPr>
        <w:t xml:space="preserve">и истата ја следи од </w:t>
      </w:r>
      <w:r w:rsidR="00290D4A" w:rsidRPr="0043197A">
        <w:rPr>
          <w:rFonts w:ascii="Arial" w:hAnsi="Arial" w:cs="Arial"/>
        </w:rPr>
        <w:t>матичната држава но сепак после одреден период замине да ја следи наставата од државата каде се реализира истата во тој случај следуваат финансиски средства за периодот кога студентот присуствувал со физичко присуство во државата каде се одржува мобилноста.</w:t>
      </w:r>
    </w:p>
    <w:p w14:paraId="70401674" w14:textId="77777777" w:rsidR="00290D4A" w:rsidRPr="00290D4A" w:rsidRDefault="00290D4A" w:rsidP="00290D4A">
      <w:pPr>
        <w:pStyle w:val="ListParagraph"/>
        <w:jc w:val="both"/>
        <w:rPr>
          <w:rFonts w:ascii="Arial" w:hAnsi="Arial" w:cs="Arial"/>
          <w:sz w:val="24"/>
          <w:szCs w:val="24"/>
        </w:rPr>
      </w:pPr>
    </w:p>
    <w:p w14:paraId="29B26F00" w14:textId="681D71D7" w:rsidR="00290D4A" w:rsidRPr="00290D4A" w:rsidRDefault="00290D4A" w:rsidP="00290D4A">
      <w:pPr>
        <w:jc w:val="both"/>
        <w:rPr>
          <w:rFonts w:ascii="Arial" w:hAnsi="Arial" w:cs="Arial"/>
          <w:sz w:val="24"/>
          <w:szCs w:val="24"/>
        </w:rPr>
      </w:pPr>
      <w:r w:rsidRPr="00290D4A">
        <w:rPr>
          <w:rFonts w:ascii="Arial" w:hAnsi="Arial" w:cs="Arial"/>
          <w:sz w:val="24"/>
          <w:szCs w:val="24"/>
        </w:rPr>
        <w:t>Професори и административен кадар</w:t>
      </w:r>
      <w:r w:rsidR="00FE6E8A">
        <w:rPr>
          <w:rFonts w:ascii="Arial" w:hAnsi="Arial" w:cs="Arial"/>
          <w:sz w:val="24"/>
          <w:szCs w:val="24"/>
        </w:rPr>
        <w:t xml:space="preserve"> (наставни ангажмани и обуки)</w:t>
      </w:r>
    </w:p>
    <w:p w14:paraId="1C705B63" w14:textId="2EE7D130" w:rsidR="00290D4A" w:rsidRPr="0043197A" w:rsidRDefault="00290D4A" w:rsidP="00290D4A">
      <w:pPr>
        <w:pStyle w:val="ListParagraph"/>
        <w:numPr>
          <w:ilvl w:val="0"/>
          <w:numId w:val="6"/>
        </w:numPr>
        <w:jc w:val="both"/>
        <w:rPr>
          <w:rFonts w:ascii="Arial" w:hAnsi="Arial" w:cs="Arial"/>
        </w:rPr>
      </w:pPr>
      <w:r w:rsidRPr="0043197A">
        <w:rPr>
          <w:rFonts w:ascii="Arial" w:hAnsi="Arial" w:cs="Arial"/>
        </w:rPr>
        <w:t xml:space="preserve">Наставните ангажмани и обуките за административен кадар доколку се реализираат </w:t>
      </w:r>
      <w:r w:rsidRPr="0043197A">
        <w:rPr>
          <w:rFonts w:ascii="Arial" w:hAnsi="Arial" w:cs="Arial"/>
          <w:lang w:val="en-GB"/>
        </w:rPr>
        <w:t xml:space="preserve">online </w:t>
      </w:r>
      <w:r w:rsidRPr="0043197A">
        <w:rPr>
          <w:rFonts w:ascii="Arial" w:hAnsi="Arial" w:cs="Arial"/>
        </w:rPr>
        <w:t xml:space="preserve">то вој случај не следуваат финансиски средства (дневници и средства за транспорт). Во оваа конкретна ситуација доколку се реализираат наставните ангажмани и обуките следуваат финансиски средства исклучиво само за организациска поддршка. </w:t>
      </w:r>
    </w:p>
    <w:p w14:paraId="0E50ED91" w14:textId="77777777" w:rsidR="00AE53BB" w:rsidRPr="00290D4A" w:rsidRDefault="00AE53BB" w:rsidP="00AE53BB">
      <w:pPr>
        <w:pStyle w:val="ListParagraph"/>
        <w:ind w:left="1080"/>
        <w:jc w:val="both"/>
        <w:rPr>
          <w:rFonts w:ascii="Arial" w:hAnsi="Arial" w:cs="Arial"/>
          <w:sz w:val="24"/>
          <w:szCs w:val="24"/>
        </w:rPr>
      </w:pPr>
    </w:p>
    <w:p w14:paraId="4D9201DB" w14:textId="77777777" w:rsidR="00F21437" w:rsidRPr="00F21437" w:rsidRDefault="00F21437" w:rsidP="00F21437">
      <w:pPr>
        <w:pStyle w:val="ListParagraph"/>
        <w:pBdr>
          <w:top w:val="single" w:sz="4" w:space="1" w:color="auto"/>
          <w:left w:val="single" w:sz="4" w:space="4" w:color="auto"/>
          <w:bottom w:val="single" w:sz="4" w:space="1" w:color="auto"/>
          <w:right w:val="single" w:sz="4" w:space="4" w:color="auto"/>
        </w:pBdr>
        <w:ind w:left="0"/>
        <w:jc w:val="center"/>
        <w:rPr>
          <w:rFonts w:ascii="Arial" w:hAnsi="Arial" w:cs="Arial"/>
          <w:b/>
          <w:bCs/>
          <w:sz w:val="24"/>
          <w:szCs w:val="24"/>
          <w:u w:val="single"/>
        </w:rPr>
      </w:pPr>
      <w:r w:rsidRPr="00F21437">
        <w:rPr>
          <w:rFonts w:ascii="Arial" w:hAnsi="Arial" w:cs="Arial"/>
          <w:b/>
          <w:bCs/>
          <w:sz w:val="24"/>
          <w:szCs w:val="24"/>
          <w:u w:val="single"/>
        </w:rPr>
        <w:lastRenderedPageBreak/>
        <w:t>Во ситуација кога студентот, кој студирал во странство, има прекин во мобилноста поради ситуацијата со Ковид-19, односно Универзитетот има прекин во наставата, при што после одреден период студентот повторно ќе почне да следи настава и да ја реализира мобилноста,  периодот кога била прекината мобилноста дали ќе се смета за валиден?</w:t>
      </w:r>
    </w:p>
    <w:p w14:paraId="0AF051A8" w14:textId="77777777" w:rsidR="0043197A" w:rsidRDefault="0043197A" w:rsidP="00F21437">
      <w:pPr>
        <w:pStyle w:val="ListParagraph"/>
        <w:ind w:left="0"/>
        <w:jc w:val="both"/>
        <w:rPr>
          <w:rFonts w:ascii="Arial" w:hAnsi="Arial" w:cs="Arial"/>
        </w:rPr>
      </w:pPr>
    </w:p>
    <w:p w14:paraId="515A51CC" w14:textId="068A83D6" w:rsidR="00F21437" w:rsidRPr="0043197A" w:rsidRDefault="00F21437" w:rsidP="00F21437">
      <w:pPr>
        <w:pStyle w:val="ListParagraph"/>
        <w:ind w:left="0"/>
        <w:jc w:val="both"/>
        <w:rPr>
          <w:rFonts w:ascii="Arial" w:hAnsi="Arial" w:cs="Arial"/>
        </w:rPr>
      </w:pPr>
      <w:r w:rsidRPr="0043197A">
        <w:rPr>
          <w:rFonts w:ascii="Arial" w:hAnsi="Arial" w:cs="Arial"/>
        </w:rPr>
        <w:t>Периодот на прекин на настава, после кој студентот  продолжува со редовна настава и со реализација на мобилноста, ќе се смета за валиден.</w:t>
      </w:r>
    </w:p>
    <w:p w14:paraId="1100F187" w14:textId="77777777" w:rsidR="00F21437" w:rsidRPr="0043197A" w:rsidRDefault="00F21437" w:rsidP="00F21437">
      <w:pPr>
        <w:pStyle w:val="ListParagraph"/>
        <w:ind w:left="0"/>
        <w:jc w:val="both"/>
        <w:rPr>
          <w:rFonts w:ascii="Arial" w:hAnsi="Arial" w:cs="Arial"/>
        </w:rPr>
      </w:pPr>
    </w:p>
    <w:p w14:paraId="6C3E8987" w14:textId="77777777" w:rsidR="00F21437" w:rsidRPr="0043197A" w:rsidRDefault="00F21437" w:rsidP="00F21437">
      <w:pPr>
        <w:pStyle w:val="ListParagraph"/>
        <w:ind w:left="0"/>
        <w:jc w:val="both"/>
        <w:rPr>
          <w:rFonts w:ascii="Arial" w:hAnsi="Arial" w:cs="Arial"/>
        </w:rPr>
      </w:pPr>
      <w:r w:rsidRPr="0043197A">
        <w:rPr>
          <w:rFonts w:ascii="Arial" w:hAnsi="Arial" w:cs="Arial"/>
        </w:rPr>
        <w:t>Високообразовната институција нема потреба периодот кога мобилноста била прекината да ја внесува во МТ+. Периодот кога мобилноста била прекината потребно е да се нотира во сертификатите и преписот на оценки кој што ќе го добијат студентите по завршување на мобилноста, односно студентската пракса.</w:t>
      </w:r>
    </w:p>
    <w:p w14:paraId="1CE56A9E" w14:textId="3181D06A" w:rsidR="007E4003" w:rsidRDefault="007E4003" w:rsidP="007E4003">
      <w:pPr>
        <w:pStyle w:val="ListParagraph"/>
        <w:jc w:val="both"/>
      </w:pPr>
    </w:p>
    <w:p w14:paraId="4B1D356E" w14:textId="77777777" w:rsidR="00E7175F" w:rsidRPr="00E7175F" w:rsidRDefault="00E7175F" w:rsidP="00E7175F">
      <w:pPr>
        <w:pStyle w:val="ListParagraph"/>
        <w:pBdr>
          <w:top w:val="single" w:sz="4" w:space="1" w:color="auto"/>
          <w:left w:val="single" w:sz="4" w:space="4" w:color="auto"/>
          <w:bottom w:val="single" w:sz="4" w:space="1" w:color="auto"/>
          <w:right w:val="single" w:sz="4" w:space="4" w:color="auto"/>
        </w:pBdr>
        <w:ind w:left="0"/>
        <w:jc w:val="center"/>
        <w:rPr>
          <w:rFonts w:ascii="Arial" w:hAnsi="Arial" w:cs="Arial"/>
          <w:b/>
          <w:bCs/>
          <w:sz w:val="24"/>
          <w:szCs w:val="24"/>
          <w:u w:val="single"/>
        </w:rPr>
      </w:pPr>
      <w:r w:rsidRPr="00E7175F">
        <w:rPr>
          <w:rFonts w:ascii="Arial" w:hAnsi="Arial" w:cs="Arial"/>
          <w:b/>
          <w:bCs/>
          <w:sz w:val="24"/>
          <w:szCs w:val="24"/>
          <w:u w:val="single"/>
        </w:rPr>
        <w:t>Дали онлајн предавањата за професорите се оправдани?</w:t>
      </w:r>
    </w:p>
    <w:p w14:paraId="09A1FA43" w14:textId="77777777" w:rsidR="0043197A" w:rsidRDefault="0043197A" w:rsidP="00DB0F45">
      <w:pPr>
        <w:pStyle w:val="ListParagraph"/>
        <w:ind w:left="0"/>
        <w:jc w:val="both"/>
        <w:rPr>
          <w:rFonts w:ascii="Arial" w:hAnsi="Arial" w:cs="Arial"/>
          <w:sz w:val="24"/>
          <w:szCs w:val="24"/>
        </w:rPr>
      </w:pPr>
    </w:p>
    <w:p w14:paraId="28120AB2" w14:textId="40795440" w:rsidR="00E7175F" w:rsidRPr="0043197A" w:rsidRDefault="00E7175F" w:rsidP="00DB0F45">
      <w:pPr>
        <w:pStyle w:val="ListParagraph"/>
        <w:ind w:left="0"/>
        <w:jc w:val="both"/>
        <w:rPr>
          <w:rFonts w:ascii="Arial" w:hAnsi="Arial" w:cs="Arial"/>
        </w:rPr>
      </w:pPr>
      <w:r w:rsidRPr="0043197A">
        <w:rPr>
          <w:rFonts w:ascii="Arial" w:hAnsi="Arial" w:cs="Arial"/>
        </w:rPr>
        <w:t xml:space="preserve">Доколку професорите сè уште не започнале со наставните ангажмани,  или административниот кадар со обуките се препорачува истите да не започнат </w:t>
      </w:r>
      <w:r w:rsidR="00DB0F45" w:rsidRPr="0043197A">
        <w:rPr>
          <w:rFonts w:ascii="Arial" w:hAnsi="Arial" w:cs="Arial"/>
          <w:lang w:val="en-GB"/>
        </w:rPr>
        <w:t>online</w:t>
      </w:r>
      <w:r w:rsidRPr="0043197A">
        <w:rPr>
          <w:rFonts w:ascii="Arial" w:hAnsi="Arial" w:cs="Arial"/>
        </w:rPr>
        <w:t xml:space="preserve">. </w:t>
      </w:r>
    </w:p>
    <w:p w14:paraId="57312102" w14:textId="17A62570" w:rsidR="00E7175F" w:rsidRPr="0043197A" w:rsidRDefault="00E7175F" w:rsidP="00DB0F45">
      <w:pPr>
        <w:pStyle w:val="ListParagraph"/>
        <w:ind w:left="0"/>
        <w:jc w:val="both"/>
        <w:rPr>
          <w:rFonts w:ascii="Arial" w:hAnsi="Arial" w:cs="Arial"/>
        </w:rPr>
      </w:pPr>
      <w:r w:rsidRPr="0043197A">
        <w:rPr>
          <w:rFonts w:ascii="Arial" w:hAnsi="Arial" w:cs="Arial"/>
        </w:rPr>
        <w:t>Наставните ангажмани и обуките се препорачува да се реализираат со физичко присуство од причина што истите се краткотрајни во споредба со студентските мобилности и пракси.</w:t>
      </w:r>
    </w:p>
    <w:p w14:paraId="5BF6FDA5" w14:textId="2D6D997B" w:rsidR="00E7175F" w:rsidRDefault="00E7175F" w:rsidP="00E7175F">
      <w:pPr>
        <w:pStyle w:val="ListParagraph"/>
        <w:ind w:left="0"/>
        <w:rPr>
          <w:rFonts w:ascii="Arial" w:hAnsi="Arial" w:cs="Arial"/>
          <w:sz w:val="24"/>
          <w:szCs w:val="24"/>
        </w:rPr>
      </w:pPr>
    </w:p>
    <w:p w14:paraId="60A5C4CB" w14:textId="77777777" w:rsidR="00E7175F" w:rsidRPr="00751525" w:rsidRDefault="00E7175F" w:rsidP="00E7175F">
      <w:pPr>
        <w:pStyle w:val="ListParagraph"/>
        <w:ind w:left="0"/>
        <w:jc w:val="both"/>
        <w:rPr>
          <w:rFonts w:ascii="Arial" w:hAnsi="Arial" w:cs="Arial"/>
          <w:sz w:val="24"/>
          <w:szCs w:val="24"/>
        </w:rPr>
      </w:pPr>
    </w:p>
    <w:p w14:paraId="20E5F3A6" w14:textId="77777777" w:rsidR="00E7175F" w:rsidRPr="00E7175F" w:rsidRDefault="00E7175F" w:rsidP="00E7175F">
      <w:pPr>
        <w:pStyle w:val="ListParagraph"/>
        <w:pBdr>
          <w:top w:val="single" w:sz="4" w:space="1" w:color="auto"/>
          <w:left w:val="single" w:sz="4" w:space="4" w:color="auto"/>
          <w:bottom w:val="single" w:sz="4" w:space="1" w:color="auto"/>
          <w:right w:val="single" w:sz="4" w:space="4" w:color="auto"/>
        </w:pBdr>
        <w:ind w:left="0"/>
        <w:jc w:val="center"/>
        <w:rPr>
          <w:rFonts w:ascii="Arial" w:hAnsi="Arial" w:cs="Arial"/>
          <w:b/>
          <w:bCs/>
          <w:sz w:val="24"/>
          <w:szCs w:val="24"/>
          <w:u w:val="single"/>
        </w:rPr>
      </w:pPr>
      <w:r w:rsidRPr="00E7175F">
        <w:rPr>
          <w:rFonts w:ascii="Arial" w:hAnsi="Arial" w:cs="Arial"/>
          <w:b/>
          <w:bCs/>
          <w:sz w:val="24"/>
          <w:szCs w:val="24"/>
          <w:u w:val="single"/>
        </w:rPr>
        <w:t>Дали насоките (КА103 и КА107) во врска со онлајн учењето за студентските мобилности се однесуваат и на студентските пракси.</w:t>
      </w:r>
    </w:p>
    <w:p w14:paraId="3883EC8F" w14:textId="77777777" w:rsidR="00E7175F" w:rsidRDefault="00E7175F" w:rsidP="00E7175F">
      <w:pPr>
        <w:jc w:val="both"/>
      </w:pPr>
    </w:p>
    <w:p w14:paraId="6E2CC158" w14:textId="77777777" w:rsidR="00E7175F" w:rsidRPr="0043197A" w:rsidRDefault="00E7175F" w:rsidP="00E7175F">
      <w:pPr>
        <w:pStyle w:val="ListParagraph"/>
        <w:ind w:left="0"/>
        <w:jc w:val="both"/>
        <w:rPr>
          <w:rFonts w:ascii="Arial" w:hAnsi="Arial" w:cs="Arial"/>
        </w:rPr>
      </w:pPr>
      <w:r w:rsidRPr="0043197A">
        <w:rPr>
          <w:rFonts w:ascii="Arial" w:hAnsi="Arial" w:cs="Arial"/>
        </w:rPr>
        <w:t>Да, истите насоки и истата флексибилност се однесува и на студентските пракси.</w:t>
      </w:r>
    </w:p>
    <w:p w14:paraId="4BADF076" w14:textId="77777777" w:rsidR="00AE53BB" w:rsidRDefault="00AE53BB" w:rsidP="00E7175F">
      <w:pPr>
        <w:jc w:val="both"/>
      </w:pPr>
    </w:p>
    <w:p w14:paraId="17F0DC61" w14:textId="4C698499" w:rsidR="00AE53BB" w:rsidRDefault="00AE53BB" w:rsidP="00AE53BB">
      <w:pPr>
        <w:pBdr>
          <w:top w:val="single" w:sz="4" w:space="1" w:color="auto"/>
          <w:left w:val="single" w:sz="4" w:space="4" w:color="auto"/>
          <w:bottom w:val="single" w:sz="4" w:space="1" w:color="auto"/>
          <w:right w:val="single" w:sz="4" w:space="4" w:color="auto"/>
        </w:pBdr>
        <w:shd w:val="clear" w:color="auto" w:fill="FDE9D9" w:themeFill="accent6" w:themeFillTint="33"/>
        <w:jc w:val="center"/>
        <w:rPr>
          <w:b/>
          <w:bCs/>
          <w:u w:val="single"/>
        </w:rPr>
      </w:pPr>
      <w:r w:rsidRPr="00F21437">
        <w:rPr>
          <w:b/>
          <w:bCs/>
          <w:u w:val="single"/>
        </w:rPr>
        <w:t>НАСОКИ КА</w:t>
      </w:r>
      <w:r w:rsidRPr="00F21437">
        <w:rPr>
          <w:b/>
          <w:bCs/>
          <w:u w:val="single"/>
          <w:lang w:val="en-GB"/>
        </w:rPr>
        <w:t>10</w:t>
      </w:r>
      <w:r>
        <w:rPr>
          <w:b/>
          <w:bCs/>
          <w:u w:val="single"/>
        </w:rPr>
        <w:t>1,</w:t>
      </w:r>
      <w:r>
        <w:rPr>
          <w:b/>
          <w:bCs/>
          <w:u w:val="single"/>
        </w:rPr>
        <w:t xml:space="preserve"> </w:t>
      </w:r>
      <w:r>
        <w:rPr>
          <w:b/>
          <w:bCs/>
          <w:u w:val="single"/>
        </w:rPr>
        <w:t xml:space="preserve">КА102 И КА104 </w:t>
      </w:r>
      <w:r w:rsidRPr="00F21437">
        <w:rPr>
          <w:b/>
          <w:bCs/>
          <w:u w:val="single"/>
        </w:rPr>
        <w:t>–</w:t>
      </w:r>
      <w:r>
        <w:rPr>
          <w:b/>
          <w:bCs/>
          <w:u w:val="single"/>
        </w:rPr>
        <w:t xml:space="preserve"> </w:t>
      </w:r>
      <w:r>
        <w:rPr>
          <w:b/>
          <w:bCs/>
          <w:u w:val="single"/>
        </w:rPr>
        <w:t>УЧИЛИШНО ОБРАЗОВАНИЕ, СТРУЧНО ОБРАЗОВАНИЕ И ОБУКА И ОБРАЗОВАНИЕ НА ВОЗРАСНИ</w:t>
      </w:r>
    </w:p>
    <w:p w14:paraId="0E4333BB" w14:textId="77777777" w:rsidR="00AE53BB" w:rsidRPr="00F21437" w:rsidRDefault="00AE53BB" w:rsidP="00AE53BB">
      <w:pPr>
        <w:pBdr>
          <w:top w:val="single" w:sz="4" w:space="1" w:color="auto"/>
          <w:left w:val="single" w:sz="4" w:space="4" w:color="auto"/>
          <w:bottom w:val="single" w:sz="4" w:space="1" w:color="auto"/>
          <w:right w:val="single" w:sz="4" w:space="4" w:color="auto"/>
        </w:pBdr>
        <w:shd w:val="clear" w:color="auto" w:fill="FDE9D9" w:themeFill="accent6" w:themeFillTint="33"/>
        <w:jc w:val="center"/>
        <w:rPr>
          <w:b/>
          <w:bCs/>
          <w:u w:val="single"/>
        </w:rPr>
      </w:pPr>
      <w:r w:rsidRPr="00F21437">
        <w:rPr>
          <w:b/>
          <w:bCs/>
          <w:u w:val="single"/>
        </w:rPr>
        <w:t xml:space="preserve"> ВИРТУЕЛНИ МОБИЛНОСТИ</w:t>
      </w:r>
    </w:p>
    <w:p w14:paraId="2BC0A118" w14:textId="77777777" w:rsidR="00AE53BB" w:rsidRDefault="00AE53BB" w:rsidP="00E7175F">
      <w:pPr>
        <w:jc w:val="both"/>
      </w:pPr>
    </w:p>
    <w:p w14:paraId="50E533D8" w14:textId="77777777" w:rsidR="00AE53BB" w:rsidRPr="0043197A" w:rsidRDefault="00AE53BB" w:rsidP="00AE53BB">
      <w:pPr>
        <w:jc w:val="both"/>
        <w:rPr>
          <w:rFonts w:ascii="Arial" w:hAnsi="Arial" w:cs="Arial"/>
        </w:rPr>
      </w:pPr>
      <w:r w:rsidRPr="0043197A">
        <w:rPr>
          <w:rFonts w:ascii="Arial" w:hAnsi="Arial" w:cs="Arial"/>
        </w:rPr>
        <w:t>Сите корисници на грант од Клучна акција 1- Мобилност на индивидуи кои не се во можност да ги реализираат предвидените мобилности со физичко присуство, можат истите да ги реализираат по виртуелен пат. За таа цел, потребно е да се склучи амандман на договор за грант кој предвидува дополнителни финансиски и договорни правила применливи само кај проекти кои организираат виртуелни активности поради ковид-19.</w:t>
      </w:r>
    </w:p>
    <w:p w14:paraId="0402BF63" w14:textId="77777777" w:rsidR="00AE53BB" w:rsidRPr="0043197A" w:rsidRDefault="00AE53BB" w:rsidP="00AE53BB">
      <w:pPr>
        <w:jc w:val="both"/>
        <w:rPr>
          <w:rFonts w:ascii="Arial" w:hAnsi="Arial" w:cs="Arial"/>
        </w:rPr>
      </w:pPr>
      <w:r w:rsidRPr="0043197A">
        <w:rPr>
          <w:rFonts w:ascii="Arial" w:hAnsi="Arial" w:cs="Arial"/>
        </w:rPr>
        <w:lastRenderedPageBreak/>
        <w:t>Со цел склучување на амандманот потребно е да се достави официјално барање потпишано и заверено од овластеното лице на институцијата во кое ќе биде наведен регистарскиот број на проектот и кратко образложение.</w:t>
      </w:r>
    </w:p>
    <w:p w14:paraId="7874EB3D" w14:textId="77777777" w:rsidR="00AE53BB" w:rsidRPr="0043197A" w:rsidRDefault="00AE53BB" w:rsidP="00AE53BB">
      <w:pPr>
        <w:jc w:val="both"/>
        <w:rPr>
          <w:rFonts w:ascii="Arial" w:hAnsi="Arial" w:cs="Arial"/>
        </w:rPr>
      </w:pPr>
      <w:r w:rsidRPr="0043197A">
        <w:rPr>
          <w:rFonts w:ascii="Arial" w:hAnsi="Arial" w:cs="Arial"/>
        </w:rPr>
        <w:t>Важно: склучувањето на амандманот за виртуелни мобилности не ги обврзува корисниците за реализација на виртуелни мобилности, но им овозможува реализирање по виртуелен пат.</w:t>
      </w:r>
    </w:p>
    <w:p w14:paraId="38717ECB" w14:textId="77777777" w:rsidR="00AE53BB" w:rsidRPr="0043197A" w:rsidRDefault="00AE53BB" w:rsidP="00AE53BB">
      <w:pPr>
        <w:jc w:val="both"/>
        <w:rPr>
          <w:rFonts w:ascii="Arial" w:hAnsi="Arial" w:cs="Arial"/>
        </w:rPr>
      </w:pPr>
      <w:r w:rsidRPr="0043197A">
        <w:rPr>
          <w:rFonts w:ascii="Arial" w:hAnsi="Arial" w:cs="Arial"/>
        </w:rPr>
        <w:t>На корисникот му е дозволено да префрлува распределени средства и тоа:</w:t>
      </w:r>
    </w:p>
    <w:p w14:paraId="0191DE4F" w14:textId="77777777" w:rsidR="00AE53BB" w:rsidRPr="0043197A" w:rsidRDefault="00AE53BB" w:rsidP="008B2A56">
      <w:pPr>
        <w:pStyle w:val="ListParagraph"/>
        <w:numPr>
          <w:ilvl w:val="0"/>
          <w:numId w:val="9"/>
        </w:numPr>
        <w:spacing w:after="160" w:line="259" w:lineRule="auto"/>
        <w:jc w:val="both"/>
        <w:rPr>
          <w:rFonts w:ascii="Arial" w:hAnsi="Arial" w:cs="Arial"/>
        </w:rPr>
      </w:pPr>
      <w:r w:rsidRPr="0043197A">
        <w:rPr>
          <w:rFonts w:ascii="Arial" w:hAnsi="Arial" w:cs="Arial"/>
        </w:rPr>
        <w:t>На корисникот му е дозволено да префрлува средства распределени во која било буџетска категорија во поддршка на посебни потреби, иако првично не биле распределени никакви средства за оваа категорија.</w:t>
      </w:r>
    </w:p>
    <w:p w14:paraId="540A2BFA" w14:textId="77777777" w:rsidR="00AE53BB" w:rsidRPr="0043197A" w:rsidRDefault="00AE53BB" w:rsidP="008B2A56">
      <w:pPr>
        <w:pStyle w:val="ListParagraph"/>
        <w:numPr>
          <w:ilvl w:val="0"/>
          <w:numId w:val="9"/>
        </w:numPr>
        <w:spacing w:after="160" w:line="259" w:lineRule="auto"/>
        <w:jc w:val="both"/>
        <w:rPr>
          <w:rFonts w:ascii="Arial" w:hAnsi="Arial" w:cs="Arial"/>
        </w:rPr>
      </w:pPr>
      <w:r w:rsidRPr="0043197A">
        <w:rPr>
          <w:rFonts w:ascii="Arial" w:hAnsi="Arial" w:cs="Arial"/>
        </w:rPr>
        <w:t>На корисникот му е дозволено да префрли до 10% од средствата од која било буџетска категорија врз основа на единечни придонеси во исклучителни трошоци со цел да се покријат трошоците поврзани со купувањето и/или изнајмувањето на опрема и/или услуги неопходни за спроведување на виртуелните мобилности поради КОВИД-19, дури и ако првично не биле распределени никакви средства во буџетската категорија на исклучителни трошоци.</w:t>
      </w:r>
    </w:p>
    <w:p w14:paraId="25460744" w14:textId="77777777" w:rsidR="00AE53BB" w:rsidRPr="0043197A" w:rsidRDefault="00AE53BB" w:rsidP="008B2A56">
      <w:pPr>
        <w:pStyle w:val="ListParagraph"/>
        <w:numPr>
          <w:ilvl w:val="0"/>
          <w:numId w:val="9"/>
        </w:numPr>
        <w:spacing w:after="160" w:line="259" w:lineRule="auto"/>
        <w:jc w:val="both"/>
        <w:rPr>
          <w:rFonts w:ascii="Arial" w:hAnsi="Arial" w:cs="Arial"/>
        </w:rPr>
      </w:pPr>
      <w:r w:rsidRPr="0043197A">
        <w:rPr>
          <w:rFonts w:ascii="Arial" w:hAnsi="Arial" w:cs="Arial"/>
        </w:rPr>
        <w:t>Бројот на учесници може да се зголеми најмногу до максималната сума од договорот за грант наменета за мобилности.</w:t>
      </w:r>
    </w:p>
    <w:p w14:paraId="38F685DF" w14:textId="647A8A29" w:rsidR="008B2A56" w:rsidRDefault="008B2A56" w:rsidP="007E4003">
      <w:pPr>
        <w:pStyle w:val="ListParagraph"/>
        <w:jc w:val="both"/>
      </w:pPr>
    </w:p>
    <w:p w14:paraId="603FE01B" w14:textId="7FFD8495" w:rsidR="00AE53BB" w:rsidRDefault="00AE53BB" w:rsidP="008B2A56">
      <w:pPr>
        <w:pBdr>
          <w:top w:val="single" w:sz="4" w:space="1" w:color="auto"/>
          <w:left w:val="single" w:sz="4" w:space="4" w:color="auto"/>
          <w:bottom w:val="single" w:sz="4" w:space="1" w:color="auto"/>
          <w:right w:val="single" w:sz="4" w:space="4" w:color="auto"/>
        </w:pBdr>
        <w:shd w:val="clear" w:color="auto" w:fill="DDD9C3" w:themeFill="background2" w:themeFillShade="E6"/>
        <w:jc w:val="center"/>
        <w:rPr>
          <w:b/>
          <w:bCs/>
          <w:u w:val="single"/>
        </w:rPr>
      </w:pPr>
      <w:r w:rsidRPr="00F21437">
        <w:rPr>
          <w:b/>
          <w:bCs/>
          <w:u w:val="single"/>
        </w:rPr>
        <w:t>НАСОКИ КА</w:t>
      </w:r>
      <w:r w:rsidRPr="00F21437">
        <w:rPr>
          <w:b/>
          <w:bCs/>
          <w:u w:val="single"/>
          <w:lang w:val="en-GB"/>
        </w:rPr>
        <w:t>10</w:t>
      </w:r>
      <w:r>
        <w:rPr>
          <w:b/>
          <w:bCs/>
          <w:u w:val="single"/>
        </w:rPr>
        <w:t>5 – МЛАДИ</w:t>
      </w:r>
    </w:p>
    <w:p w14:paraId="0D85669F" w14:textId="77777777" w:rsidR="00AE53BB" w:rsidRPr="00F21437" w:rsidRDefault="00AE53BB" w:rsidP="008B2A56">
      <w:pPr>
        <w:pBdr>
          <w:top w:val="single" w:sz="4" w:space="1" w:color="auto"/>
          <w:left w:val="single" w:sz="4" w:space="4" w:color="auto"/>
          <w:bottom w:val="single" w:sz="4" w:space="1" w:color="auto"/>
          <w:right w:val="single" w:sz="4" w:space="4" w:color="auto"/>
        </w:pBdr>
        <w:shd w:val="clear" w:color="auto" w:fill="DDD9C3" w:themeFill="background2" w:themeFillShade="E6"/>
        <w:jc w:val="center"/>
        <w:rPr>
          <w:b/>
          <w:bCs/>
          <w:u w:val="single"/>
        </w:rPr>
      </w:pPr>
      <w:r w:rsidRPr="00F21437">
        <w:rPr>
          <w:b/>
          <w:bCs/>
          <w:u w:val="single"/>
        </w:rPr>
        <w:t xml:space="preserve"> ВИРТУЕЛНИ МОБИЛНОСТИ</w:t>
      </w:r>
    </w:p>
    <w:p w14:paraId="7BA1BD7D" w14:textId="06EF5B66" w:rsidR="00F21437" w:rsidRDefault="00F21437" w:rsidP="007E4003">
      <w:pPr>
        <w:pStyle w:val="ListParagraph"/>
        <w:jc w:val="both"/>
      </w:pPr>
    </w:p>
    <w:p w14:paraId="3DE0548A" w14:textId="77777777" w:rsidR="008B2A56" w:rsidRPr="008B2A56" w:rsidRDefault="008B2A56" w:rsidP="008B2A56">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Arial" w:hAnsi="Arial" w:cs="Arial"/>
          <w:b/>
          <w:bCs/>
          <w:sz w:val="24"/>
          <w:szCs w:val="24"/>
          <w:u w:val="single"/>
        </w:rPr>
      </w:pPr>
      <w:r w:rsidRPr="008B2A56">
        <w:rPr>
          <w:rFonts w:ascii="Arial" w:hAnsi="Arial" w:cs="Arial"/>
          <w:b/>
          <w:bCs/>
          <w:sz w:val="24"/>
          <w:szCs w:val="24"/>
          <w:u w:val="single"/>
        </w:rPr>
        <w:t>Дали може проектните активности во КА 105 да се организираат виртуелно и кои трошоци ќе бидат прифатливи со оглед што нема да има физичко присуство на учесниците и нема да користат патни трошоци ?</w:t>
      </w:r>
    </w:p>
    <w:p w14:paraId="51E54645" w14:textId="63C5B130" w:rsidR="008B2A56" w:rsidRDefault="008B2A56" w:rsidP="008B2A56">
      <w:pPr>
        <w:jc w:val="both"/>
      </w:pPr>
    </w:p>
    <w:p w14:paraId="79E7A823" w14:textId="77777777" w:rsidR="008B2A56" w:rsidRPr="0043197A" w:rsidRDefault="008B2A56" w:rsidP="008B2A56">
      <w:pPr>
        <w:pStyle w:val="ListParagraph"/>
        <w:numPr>
          <w:ilvl w:val="0"/>
          <w:numId w:val="8"/>
        </w:numPr>
        <w:spacing w:after="160" w:line="259" w:lineRule="auto"/>
        <w:jc w:val="both"/>
        <w:rPr>
          <w:rFonts w:ascii="Arial" w:hAnsi="Arial" w:cs="Arial"/>
        </w:rPr>
      </w:pPr>
      <w:r w:rsidRPr="0043197A">
        <w:rPr>
          <w:rFonts w:ascii="Arial" w:hAnsi="Arial" w:cs="Arial"/>
        </w:rPr>
        <w:t xml:space="preserve">Може да се органзираат виртуелни активности но со обврска претходно да биде информирана Националната агенција и одговорното лице во НА поради претходни административни процедури кои треба да се завршат пред да се пристапи кон органзирање на виртуелна активност. Корисникот на грант треба да биде во комуникација со одговорно лице во НА. За активности или дел од активност што ќе се одвива виртуелно, организациите ќе имаат право да добиваат 35% од вкупната цена на ден по учесник, бидејки нема трошоци за сместување и трошоци на учесниците кои одат во странство. </w:t>
      </w:r>
    </w:p>
    <w:p w14:paraId="472A36F5" w14:textId="1A0DD290" w:rsidR="008B2A56" w:rsidRPr="0043197A" w:rsidRDefault="008B2A56" w:rsidP="008B2A56">
      <w:pPr>
        <w:pStyle w:val="ListParagraph"/>
        <w:numPr>
          <w:ilvl w:val="0"/>
          <w:numId w:val="8"/>
        </w:numPr>
        <w:spacing w:after="160" w:line="259" w:lineRule="auto"/>
        <w:jc w:val="both"/>
        <w:rPr>
          <w:rFonts w:ascii="Arial" w:hAnsi="Arial" w:cs="Arial"/>
        </w:rPr>
      </w:pPr>
      <w:r w:rsidRPr="0043197A">
        <w:rPr>
          <w:rFonts w:ascii="Arial" w:hAnsi="Arial" w:cs="Arial"/>
        </w:rPr>
        <w:t xml:space="preserve">Во одредени околности Националната агенција ќе прифати (доколку е оправдано, а зависно од природата на проектот и потребите на корисникот) употреба на буџетот - исклучителни трошоци за корисниците за покривање на трошоците поврзани со купување и/или изнајмување на потребната опрема, и/или услуги за спроведување на виртуелни и комбинирани активности за мобилност - дури и ако првично не биле предвидени/доделени средства за тоа. Оваа поддршка првенствено треба да опфаќа опрема и/или услуги со привремена природа (т.е. за времетраењето на проектот), наместо вообичаена </w:t>
      </w:r>
      <w:r w:rsidRPr="0043197A">
        <w:rPr>
          <w:rFonts w:ascii="Arial" w:hAnsi="Arial" w:cs="Arial"/>
        </w:rPr>
        <w:lastRenderedPageBreak/>
        <w:t>канцелариска опрема или опрема што обично се користи од страна на организациите учеснички надвор од опсегот на проектот.</w:t>
      </w:r>
    </w:p>
    <w:p w14:paraId="600D27C1" w14:textId="73BAFFA3" w:rsidR="008B2A56" w:rsidRDefault="008B2A56" w:rsidP="008B2A56">
      <w:pPr>
        <w:spacing w:after="160" w:line="259" w:lineRule="auto"/>
        <w:jc w:val="both"/>
        <w:rPr>
          <w:rFonts w:ascii="Arial" w:hAnsi="Arial" w:cs="Arial"/>
          <w:sz w:val="24"/>
          <w:szCs w:val="24"/>
        </w:rPr>
      </w:pPr>
    </w:p>
    <w:p w14:paraId="34A1B7DA" w14:textId="3B16EA02" w:rsidR="008B2A56" w:rsidRDefault="008B2A56" w:rsidP="008B2A56">
      <w:pPr>
        <w:jc w:val="both"/>
        <w:rPr>
          <w:rFonts w:ascii="Arial" w:hAnsi="Arial" w:cs="Arial"/>
          <w:b/>
          <w:bCs/>
          <w:sz w:val="24"/>
          <w:szCs w:val="24"/>
          <w:u w:val="single"/>
        </w:rPr>
      </w:pPr>
      <w:r w:rsidRPr="008B2A56">
        <w:rPr>
          <w:rFonts w:ascii="Arial" w:hAnsi="Arial" w:cs="Arial"/>
          <w:b/>
          <w:bCs/>
          <w:sz w:val="24"/>
          <w:szCs w:val="24"/>
          <w:u w:val="single"/>
        </w:rPr>
        <w:t>KA105 – Младинска размена и Мобилност на младински работници</w:t>
      </w:r>
    </w:p>
    <w:p w14:paraId="0850EB12" w14:textId="77777777" w:rsidR="008B2A56" w:rsidRPr="0043197A" w:rsidRDefault="008B2A56" w:rsidP="008B2A56">
      <w:pPr>
        <w:jc w:val="both"/>
        <w:rPr>
          <w:rFonts w:ascii="Arial" w:hAnsi="Arial" w:cs="Arial"/>
        </w:rPr>
      </w:pPr>
      <w:r w:rsidRPr="0043197A">
        <w:rPr>
          <w:rFonts w:ascii="Arial" w:hAnsi="Arial" w:cs="Arial"/>
        </w:rPr>
        <w:t xml:space="preserve">За деновите на виртуелна мобилност, корисничката организација добива 35% од Организациска поддршка. </w:t>
      </w:r>
    </w:p>
    <w:p w14:paraId="2356D2F4" w14:textId="77777777" w:rsidR="008B2A56" w:rsidRPr="0043197A" w:rsidRDefault="008B2A56" w:rsidP="008B2A56">
      <w:pPr>
        <w:jc w:val="both"/>
        <w:rPr>
          <w:rFonts w:ascii="Arial" w:hAnsi="Arial" w:cs="Arial"/>
        </w:rPr>
      </w:pPr>
      <w:r w:rsidRPr="0043197A">
        <w:rPr>
          <w:rFonts w:ascii="Arial" w:hAnsi="Arial" w:cs="Arial"/>
        </w:rPr>
        <w:t>• Доколку започне периодот на физичка мобилност, корисничката организација има право да ги добие целосно средствата за Организациска поддршка за временскиот период на престој во странство и, исто така, има право на грант за патни трошоци. Ако не се случи физичка мобилност, организациите немаат право да го добијат грантот за патни трошоци.</w:t>
      </w:r>
    </w:p>
    <w:p w14:paraId="54E7A412" w14:textId="77777777" w:rsidR="008B2A56" w:rsidRPr="0043197A" w:rsidRDefault="008B2A56" w:rsidP="008B2A56">
      <w:pPr>
        <w:jc w:val="both"/>
        <w:rPr>
          <w:rFonts w:ascii="Arial" w:hAnsi="Arial" w:cs="Arial"/>
        </w:rPr>
      </w:pPr>
      <w:r w:rsidRPr="0043197A">
        <w:rPr>
          <w:rFonts w:ascii="Arial" w:hAnsi="Arial" w:cs="Arial"/>
        </w:rPr>
        <w:t xml:space="preserve"> • Овие активности ќе треба да бидат потврдени со придружна документација за да се потврди учеството. </w:t>
      </w:r>
    </w:p>
    <w:p w14:paraId="558E20AD" w14:textId="77777777" w:rsidR="008B2A56" w:rsidRPr="0043197A" w:rsidRDefault="008B2A56" w:rsidP="008B2A56">
      <w:pPr>
        <w:jc w:val="both"/>
        <w:rPr>
          <w:rFonts w:ascii="Arial" w:hAnsi="Arial" w:cs="Arial"/>
        </w:rPr>
      </w:pPr>
      <w:r w:rsidRPr="0043197A">
        <w:rPr>
          <w:rFonts w:ascii="Arial" w:hAnsi="Arial" w:cs="Arial"/>
        </w:rPr>
        <w:t xml:space="preserve">• Доколку е соодветно оправдано и документирано, корисниците можат да ги покријат трошоците поврзани со купување и/или изнајмување опрема и/или услуги неопходни за спроведување на активности за виртуелна и мешана мобилност, дури и ако на почетокот не се доделени средства за категоријата буџет за вонредни трошоци. </w:t>
      </w:r>
    </w:p>
    <w:p w14:paraId="48887A65" w14:textId="02579A41" w:rsidR="008B2A56" w:rsidRPr="0043197A" w:rsidRDefault="008B2A56" w:rsidP="008B2A56">
      <w:pPr>
        <w:jc w:val="both"/>
        <w:rPr>
          <w:rFonts w:ascii="Arial" w:hAnsi="Arial" w:cs="Arial"/>
        </w:rPr>
      </w:pPr>
      <w:r w:rsidRPr="0043197A">
        <w:rPr>
          <w:rFonts w:ascii="Arial" w:hAnsi="Arial" w:cs="Arial"/>
        </w:rPr>
        <w:t>• Доколку е соодветно оправдано и документирано од страна на корисникот, дозволено е Националните агенции да дадат поддршка за посебни потреби, за да се овозможи учество на учесници со посебни потреби во виртуелните активности, според истите правила како што е наведено во Водичот на програмата.</w:t>
      </w:r>
    </w:p>
    <w:p w14:paraId="63769E6F" w14:textId="77777777" w:rsidR="008B2A56" w:rsidRPr="008B2A56" w:rsidRDefault="008B2A56" w:rsidP="008B2A56">
      <w:pPr>
        <w:jc w:val="both"/>
        <w:rPr>
          <w:rFonts w:ascii="Arial" w:hAnsi="Arial" w:cs="Arial"/>
          <w:b/>
          <w:bCs/>
          <w:sz w:val="24"/>
          <w:szCs w:val="24"/>
        </w:rPr>
      </w:pPr>
      <w:r w:rsidRPr="008B2A56">
        <w:rPr>
          <w:rFonts w:ascii="Arial" w:hAnsi="Arial" w:cs="Arial"/>
          <w:b/>
          <w:bCs/>
          <w:sz w:val="24"/>
          <w:szCs w:val="24"/>
        </w:rPr>
        <w:t>Потребна придружна документација</w:t>
      </w:r>
    </w:p>
    <w:p w14:paraId="58A8EC81" w14:textId="77777777" w:rsidR="008B2A56" w:rsidRPr="0043197A" w:rsidRDefault="008B2A56" w:rsidP="008B2A56">
      <w:pPr>
        <w:jc w:val="both"/>
        <w:rPr>
          <w:rFonts w:ascii="Arial" w:hAnsi="Arial" w:cs="Arial"/>
        </w:rPr>
      </w:pPr>
      <w:r w:rsidRPr="0043197A">
        <w:rPr>
          <w:rFonts w:ascii="Arial" w:hAnsi="Arial" w:cs="Arial"/>
        </w:rPr>
        <w:t xml:space="preserve">• </w:t>
      </w:r>
      <w:r w:rsidRPr="0043197A">
        <w:rPr>
          <w:rFonts w:ascii="Arial" w:hAnsi="Arial" w:cs="Arial"/>
          <w:b/>
          <w:bCs/>
        </w:rPr>
        <w:t>За Организациска поддршка:</w:t>
      </w:r>
      <w:r w:rsidRPr="0043197A">
        <w:rPr>
          <w:rFonts w:ascii="Arial" w:hAnsi="Arial" w:cs="Arial"/>
        </w:rPr>
        <w:t xml:space="preserve"> Доказ за присуство на активност во форма на декларација/сертификат потпишана од страна на организацијата примател, во која се наведува името на учесникот, целта на активноста, како и датумот на започнување и завршување на виртуелната активност.</w:t>
      </w:r>
    </w:p>
    <w:p w14:paraId="6385E515" w14:textId="77777777" w:rsidR="008B2A56" w:rsidRPr="0043197A" w:rsidRDefault="008B2A56" w:rsidP="008B2A56">
      <w:pPr>
        <w:jc w:val="both"/>
        <w:rPr>
          <w:rFonts w:ascii="Arial" w:hAnsi="Arial" w:cs="Arial"/>
        </w:rPr>
      </w:pPr>
      <w:r w:rsidRPr="0043197A">
        <w:rPr>
          <w:rFonts w:ascii="Arial" w:hAnsi="Arial" w:cs="Arial"/>
          <w:b/>
          <w:bCs/>
        </w:rPr>
        <w:t>- Поддршка за посебни потреби</w:t>
      </w:r>
      <w:r w:rsidRPr="0043197A">
        <w:rPr>
          <w:rFonts w:ascii="Arial" w:hAnsi="Arial" w:cs="Arial"/>
        </w:rPr>
        <w:t xml:space="preserve">: На корисникот му е дозволено да префрла средства наменети на која било ставка од буџетот за поддршка за посебни потреби, дури и ако првично не биле доделени/распределени средства за оваа ставка. </w:t>
      </w:r>
    </w:p>
    <w:p w14:paraId="22B236C4" w14:textId="77777777" w:rsidR="008B2A56" w:rsidRPr="0043197A" w:rsidRDefault="008B2A56" w:rsidP="008B2A56">
      <w:pPr>
        <w:jc w:val="both"/>
        <w:rPr>
          <w:rFonts w:ascii="Arial" w:hAnsi="Arial" w:cs="Arial"/>
        </w:rPr>
      </w:pPr>
      <w:r w:rsidRPr="0043197A">
        <w:rPr>
          <w:rFonts w:ascii="Arial" w:hAnsi="Arial" w:cs="Arial"/>
        </w:rPr>
        <w:t xml:space="preserve">(а) </w:t>
      </w:r>
      <w:r w:rsidRPr="0043197A">
        <w:rPr>
          <w:rFonts w:ascii="Arial" w:hAnsi="Arial" w:cs="Arial"/>
          <w:u w:val="single"/>
        </w:rPr>
        <w:t>Пресметка на износот:</w:t>
      </w:r>
      <w:r w:rsidRPr="0043197A">
        <w:rPr>
          <w:rFonts w:ascii="Arial" w:hAnsi="Arial" w:cs="Arial"/>
        </w:rPr>
        <w:t xml:space="preserve"> грантот се надоместува 100% од реалните трошоци што се направени. </w:t>
      </w:r>
    </w:p>
    <w:p w14:paraId="29EBB267" w14:textId="77777777" w:rsidR="008B2A56" w:rsidRPr="0043197A" w:rsidRDefault="008B2A56" w:rsidP="008B2A56">
      <w:pPr>
        <w:jc w:val="both"/>
        <w:rPr>
          <w:rFonts w:ascii="Arial" w:hAnsi="Arial" w:cs="Arial"/>
        </w:rPr>
      </w:pPr>
      <w:r w:rsidRPr="0043197A">
        <w:rPr>
          <w:rFonts w:ascii="Arial" w:hAnsi="Arial" w:cs="Arial"/>
        </w:rPr>
        <w:t xml:space="preserve">(б) </w:t>
      </w:r>
      <w:r w:rsidRPr="0043197A">
        <w:rPr>
          <w:rFonts w:ascii="Arial" w:hAnsi="Arial" w:cs="Arial"/>
          <w:u w:val="single"/>
        </w:rPr>
        <w:t>Подобни трошоци</w:t>
      </w:r>
      <w:r w:rsidRPr="0043197A">
        <w:rPr>
          <w:rFonts w:ascii="Arial" w:hAnsi="Arial" w:cs="Arial"/>
        </w:rPr>
        <w:t xml:space="preserve">: трошоци директно поврзани со учесниците со посебни потреби и потребни за спроведување виртуелни активности. </w:t>
      </w:r>
    </w:p>
    <w:p w14:paraId="5227F1E8" w14:textId="77777777" w:rsidR="008B2A56" w:rsidRPr="0043197A" w:rsidRDefault="008B2A56" w:rsidP="008B2A56">
      <w:pPr>
        <w:jc w:val="both"/>
        <w:rPr>
          <w:rFonts w:ascii="Arial" w:hAnsi="Arial" w:cs="Arial"/>
        </w:rPr>
      </w:pPr>
      <w:r w:rsidRPr="0043197A">
        <w:rPr>
          <w:rFonts w:ascii="Arial" w:hAnsi="Arial" w:cs="Arial"/>
        </w:rPr>
        <w:t xml:space="preserve">(в) </w:t>
      </w:r>
      <w:r w:rsidRPr="0043197A">
        <w:rPr>
          <w:rFonts w:ascii="Arial" w:hAnsi="Arial" w:cs="Arial"/>
          <w:u w:val="single"/>
        </w:rPr>
        <w:t>Придружна документација:</w:t>
      </w:r>
      <w:r w:rsidRPr="0043197A">
        <w:rPr>
          <w:rFonts w:ascii="Arial" w:hAnsi="Arial" w:cs="Arial"/>
        </w:rPr>
        <w:t xml:space="preserve"> фактури поврзани со трошоци во кои е наведено името и адресата на тој што ја издава фактурата, износот и валутата и датумот на фактурата.</w:t>
      </w:r>
    </w:p>
    <w:p w14:paraId="61783EF9" w14:textId="77777777" w:rsidR="008B2A56" w:rsidRPr="0043197A" w:rsidRDefault="008B2A56" w:rsidP="008B2A56">
      <w:pPr>
        <w:jc w:val="both"/>
        <w:rPr>
          <w:rFonts w:ascii="Arial" w:hAnsi="Arial" w:cs="Arial"/>
        </w:rPr>
      </w:pPr>
      <w:r w:rsidRPr="0043197A">
        <w:rPr>
          <w:rFonts w:ascii="Arial" w:hAnsi="Arial" w:cs="Arial"/>
          <w:b/>
          <w:bCs/>
        </w:rPr>
        <w:t>- Вонредни трошоци:</w:t>
      </w:r>
      <w:r w:rsidRPr="0043197A">
        <w:rPr>
          <w:rFonts w:ascii="Arial" w:hAnsi="Arial" w:cs="Arial"/>
        </w:rPr>
        <w:t xml:space="preserve"> На корисниците им е дозволено да пренесат до 10% од средствата од која било ставка на буџетот, во ставката за вонредни трошоци со цел да ги покријат трошоците поврзани со купување и/или изнајмување опрема и/или услуги </w:t>
      </w:r>
      <w:r w:rsidRPr="0043197A">
        <w:rPr>
          <w:rFonts w:ascii="Arial" w:hAnsi="Arial" w:cs="Arial"/>
        </w:rPr>
        <w:lastRenderedPageBreak/>
        <w:t xml:space="preserve">потребни за спроведување на активности за виртуелна мобилност на Ковид-19, дури и ако првично не биле доделени/распоредени средства во буџетот за Вонредни трошоци: </w:t>
      </w:r>
    </w:p>
    <w:p w14:paraId="5D14D3A9" w14:textId="77777777" w:rsidR="008B2A56" w:rsidRPr="0043197A" w:rsidRDefault="008B2A56" w:rsidP="008B2A56">
      <w:pPr>
        <w:jc w:val="both"/>
        <w:rPr>
          <w:rFonts w:ascii="Arial" w:hAnsi="Arial" w:cs="Arial"/>
        </w:rPr>
      </w:pPr>
      <w:r w:rsidRPr="0043197A">
        <w:rPr>
          <w:rFonts w:ascii="Arial" w:hAnsi="Arial" w:cs="Arial"/>
        </w:rPr>
        <w:t xml:space="preserve">а) </w:t>
      </w:r>
      <w:r w:rsidRPr="0043197A">
        <w:rPr>
          <w:rFonts w:ascii="Arial" w:hAnsi="Arial" w:cs="Arial"/>
          <w:u w:val="single"/>
        </w:rPr>
        <w:t>Пресметка на износот на грантот</w:t>
      </w:r>
      <w:r w:rsidRPr="0043197A">
        <w:rPr>
          <w:rFonts w:ascii="Arial" w:hAnsi="Arial" w:cs="Arial"/>
        </w:rPr>
        <w:t xml:space="preserve">: грантот се надоместува 75% од трошоците реално направени за купување и/или изнајмување опрема и/или услуги. </w:t>
      </w:r>
    </w:p>
    <w:p w14:paraId="0308E83E" w14:textId="77777777" w:rsidR="008B2A56" w:rsidRPr="0043197A" w:rsidRDefault="008B2A56" w:rsidP="008B2A56">
      <w:pPr>
        <w:jc w:val="both"/>
        <w:rPr>
          <w:rFonts w:ascii="Arial" w:hAnsi="Arial" w:cs="Arial"/>
        </w:rPr>
      </w:pPr>
      <w:r w:rsidRPr="0043197A">
        <w:rPr>
          <w:rFonts w:ascii="Arial" w:hAnsi="Arial" w:cs="Arial"/>
        </w:rPr>
        <w:t xml:space="preserve">б) </w:t>
      </w:r>
      <w:r w:rsidRPr="0043197A">
        <w:rPr>
          <w:rFonts w:ascii="Arial" w:hAnsi="Arial" w:cs="Arial"/>
          <w:u w:val="single"/>
        </w:rPr>
        <w:t>Подобни трошоци</w:t>
      </w:r>
      <w:r w:rsidRPr="0043197A">
        <w:rPr>
          <w:rFonts w:ascii="Arial" w:hAnsi="Arial" w:cs="Arial"/>
        </w:rPr>
        <w:t xml:space="preserve">: се покриваат сите трошоците поврзани со купување и/или изнајмување опрема и/или услуги потребни за спроведување на активности за виртуелна мобилност. </w:t>
      </w:r>
    </w:p>
    <w:p w14:paraId="07C250F1" w14:textId="77777777" w:rsidR="008B2A56" w:rsidRPr="0043197A" w:rsidRDefault="008B2A56" w:rsidP="008B2A56">
      <w:pPr>
        <w:jc w:val="both"/>
        <w:rPr>
          <w:rFonts w:ascii="Arial" w:hAnsi="Arial" w:cs="Arial"/>
          <w:b/>
          <w:bCs/>
        </w:rPr>
      </w:pPr>
      <w:r w:rsidRPr="0043197A">
        <w:rPr>
          <w:rFonts w:ascii="Arial" w:hAnsi="Arial" w:cs="Arial"/>
        </w:rPr>
        <w:t xml:space="preserve">в) </w:t>
      </w:r>
      <w:r w:rsidRPr="0043197A">
        <w:rPr>
          <w:rFonts w:ascii="Arial" w:hAnsi="Arial" w:cs="Arial"/>
          <w:u w:val="single"/>
        </w:rPr>
        <w:t>Придружни документи</w:t>
      </w:r>
      <w:r w:rsidRPr="0043197A">
        <w:rPr>
          <w:rFonts w:ascii="Arial" w:hAnsi="Arial" w:cs="Arial"/>
        </w:rPr>
        <w:t>: доказ за плаќање на трошоци направени врз основа на фактури во кои се наведува името и адресата на тој што ја издава фактурата, износот и валутата и датумот на фактурата.</w:t>
      </w:r>
    </w:p>
    <w:p w14:paraId="44A7ECCB" w14:textId="77777777" w:rsidR="008B2A56" w:rsidRPr="00B06BB7" w:rsidRDefault="008B2A56" w:rsidP="008B2A56">
      <w:pPr>
        <w:jc w:val="both"/>
        <w:rPr>
          <w:b/>
          <w:bCs/>
        </w:rPr>
      </w:pPr>
    </w:p>
    <w:p w14:paraId="77D5E31C" w14:textId="77777777" w:rsidR="008B2A56" w:rsidRDefault="008B2A56" w:rsidP="008B2A56">
      <w:pPr>
        <w:jc w:val="both"/>
        <w:rPr>
          <w:rFonts w:ascii="Arial" w:hAnsi="Arial" w:cs="Arial"/>
          <w:b/>
          <w:bCs/>
          <w:sz w:val="24"/>
          <w:szCs w:val="24"/>
          <w:u w:val="single"/>
        </w:rPr>
      </w:pPr>
    </w:p>
    <w:p w14:paraId="1F6E283D" w14:textId="77777777" w:rsidR="008B2A56" w:rsidRPr="008B2A56" w:rsidRDefault="008B2A56" w:rsidP="008B2A56">
      <w:pPr>
        <w:jc w:val="both"/>
        <w:rPr>
          <w:rFonts w:ascii="Arial" w:hAnsi="Arial" w:cs="Arial"/>
          <w:b/>
          <w:bCs/>
          <w:sz w:val="24"/>
          <w:szCs w:val="24"/>
          <w:u w:val="single"/>
        </w:rPr>
      </w:pPr>
    </w:p>
    <w:p w14:paraId="67EDF8F6" w14:textId="77777777" w:rsidR="008B2A56" w:rsidRPr="008B2A56" w:rsidRDefault="008B2A56" w:rsidP="008B2A56">
      <w:pPr>
        <w:spacing w:after="160" w:line="259" w:lineRule="auto"/>
        <w:jc w:val="both"/>
        <w:rPr>
          <w:rFonts w:ascii="Arial" w:hAnsi="Arial" w:cs="Arial"/>
          <w:sz w:val="24"/>
          <w:szCs w:val="24"/>
        </w:rPr>
      </w:pPr>
    </w:p>
    <w:p w14:paraId="322B5C66" w14:textId="77777777" w:rsidR="008B2A56" w:rsidRDefault="008B2A56" w:rsidP="008B2A56">
      <w:pPr>
        <w:jc w:val="both"/>
      </w:pPr>
    </w:p>
    <w:sectPr w:rsidR="008B2A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3E6844"/>
    <w:multiLevelType w:val="hybridMultilevel"/>
    <w:tmpl w:val="7BBEA00C"/>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 w15:restartNumberingAfterBreak="0">
    <w:nsid w:val="1ECD61B4"/>
    <w:multiLevelType w:val="hybridMultilevel"/>
    <w:tmpl w:val="F78E9F2A"/>
    <w:lvl w:ilvl="0" w:tplc="1D02211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E92667"/>
    <w:multiLevelType w:val="multilevel"/>
    <w:tmpl w:val="E5C20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074B03"/>
    <w:multiLevelType w:val="hybridMultilevel"/>
    <w:tmpl w:val="0D8ACE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061C11"/>
    <w:multiLevelType w:val="hybridMultilevel"/>
    <w:tmpl w:val="BD8C4C9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FE97459"/>
    <w:multiLevelType w:val="hybridMultilevel"/>
    <w:tmpl w:val="2E2CD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3007BF"/>
    <w:multiLevelType w:val="hybridMultilevel"/>
    <w:tmpl w:val="DF94F648"/>
    <w:lvl w:ilvl="0" w:tplc="2B8CDE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BC5583"/>
    <w:multiLevelType w:val="hybridMultilevel"/>
    <w:tmpl w:val="78EA30BA"/>
    <w:lvl w:ilvl="0" w:tplc="08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AC4CC5"/>
    <w:multiLevelType w:val="hybridMultilevel"/>
    <w:tmpl w:val="C824982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1"/>
  </w:num>
  <w:num w:numId="5">
    <w:abstractNumId w:val="3"/>
  </w:num>
  <w:num w:numId="6">
    <w:abstractNumId w:val="4"/>
  </w:num>
  <w:num w:numId="7">
    <w:abstractNumId w:val="5"/>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204"/>
    <w:rsid w:val="00035345"/>
    <w:rsid w:val="00290D4A"/>
    <w:rsid w:val="00416DC5"/>
    <w:rsid w:val="0043197A"/>
    <w:rsid w:val="00606C13"/>
    <w:rsid w:val="006D0C94"/>
    <w:rsid w:val="00746C16"/>
    <w:rsid w:val="00753179"/>
    <w:rsid w:val="007E4003"/>
    <w:rsid w:val="007F0C17"/>
    <w:rsid w:val="008B2A56"/>
    <w:rsid w:val="00911830"/>
    <w:rsid w:val="009D09EE"/>
    <w:rsid w:val="00A23204"/>
    <w:rsid w:val="00A678CA"/>
    <w:rsid w:val="00AE53BB"/>
    <w:rsid w:val="00C30E41"/>
    <w:rsid w:val="00D4327F"/>
    <w:rsid w:val="00DB0F45"/>
    <w:rsid w:val="00E7175F"/>
    <w:rsid w:val="00EF1958"/>
    <w:rsid w:val="00F21437"/>
    <w:rsid w:val="00FE6E8A"/>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15BE3"/>
  <w15:docId w15:val="{CD1349B7-E4DA-497D-8468-8A7B98CCC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uide-Normal">
    <w:name w:val="Guide - Normal"/>
    <w:basedOn w:val="Normal"/>
    <w:link w:val="Guide-NormalChar"/>
    <w:rsid w:val="00D4327F"/>
    <w:pPr>
      <w:suppressAutoHyphens/>
      <w:autoSpaceDN w:val="0"/>
      <w:spacing w:after="0" w:line="240" w:lineRule="auto"/>
      <w:jc w:val="both"/>
      <w:textAlignment w:val="baseline"/>
    </w:pPr>
    <w:rPr>
      <w:rFonts w:ascii="Calibri" w:eastAsia="Times New Roman" w:hAnsi="Calibri" w:cs="Tahoma"/>
      <w:kern w:val="3"/>
      <w:sz w:val="18"/>
      <w:szCs w:val="18"/>
      <w:shd w:val="clear" w:color="auto" w:fill="FFFFFF"/>
      <w:lang w:val="en-GB" w:eastAsia="en-GB"/>
    </w:rPr>
  </w:style>
  <w:style w:type="paragraph" w:customStyle="1" w:styleId="Guide-Heading5">
    <w:name w:val="Guide - Heading 5"/>
    <w:basedOn w:val="Normal"/>
    <w:rsid w:val="00D4327F"/>
    <w:pPr>
      <w:keepNext/>
      <w:suppressAutoHyphens/>
      <w:autoSpaceDN w:val="0"/>
      <w:spacing w:before="200" w:line="240" w:lineRule="auto"/>
      <w:textAlignment w:val="baseline"/>
      <w:outlineLvl w:val="4"/>
    </w:pPr>
    <w:rPr>
      <w:rFonts w:ascii="Calibri" w:eastAsia="Times New Roman" w:hAnsi="Calibri" w:cs="Tahoma"/>
      <w:b/>
      <w:smallCaps/>
      <w:kern w:val="3"/>
      <w:szCs w:val="20"/>
      <w:lang w:val="en-GB" w:eastAsia="zh-CN"/>
    </w:rPr>
  </w:style>
  <w:style w:type="character" w:customStyle="1" w:styleId="Guide-NormalChar">
    <w:name w:val="Guide - Normal Char"/>
    <w:link w:val="Guide-Normal"/>
    <w:rsid w:val="00D4327F"/>
    <w:rPr>
      <w:rFonts w:ascii="Calibri" w:eastAsia="Times New Roman" w:hAnsi="Calibri" w:cs="Tahoma"/>
      <w:kern w:val="3"/>
      <w:sz w:val="18"/>
      <w:szCs w:val="18"/>
      <w:lang w:val="en-GB" w:eastAsia="en-GB"/>
    </w:rPr>
  </w:style>
  <w:style w:type="character" w:customStyle="1" w:styleId="jlqj4b">
    <w:name w:val="jlqj4b"/>
    <w:basedOn w:val="DefaultParagraphFont"/>
    <w:rsid w:val="00C30E41"/>
  </w:style>
  <w:style w:type="paragraph" w:styleId="ListParagraph">
    <w:name w:val="List Paragraph"/>
    <w:basedOn w:val="Normal"/>
    <w:uiPriority w:val="34"/>
    <w:qFormat/>
    <w:rsid w:val="00911830"/>
    <w:pPr>
      <w:ind w:left="720"/>
      <w:contextualSpacing/>
    </w:pPr>
  </w:style>
  <w:style w:type="table" w:styleId="TableGrid">
    <w:name w:val="Table Grid"/>
    <w:basedOn w:val="TableNormal"/>
    <w:uiPriority w:val="39"/>
    <w:rsid w:val="00F2143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5201999">
      <w:bodyDiv w:val="1"/>
      <w:marLeft w:val="0"/>
      <w:marRight w:val="0"/>
      <w:marTop w:val="0"/>
      <w:marBottom w:val="0"/>
      <w:divBdr>
        <w:top w:val="none" w:sz="0" w:space="0" w:color="auto"/>
        <w:left w:val="none" w:sz="0" w:space="0" w:color="auto"/>
        <w:bottom w:val="none" w:sz="0" w:space="0" w:color="auto"/>
        <w:right w:val="none" w:sz="0" w:space="0" w:color="auto"/>
      </w:divBdr>
      <w:divsChild>
        <w:div w:id="467475329">
          <w:marLeft w:val="0"/>
          <w:marRight w:val="0"/>
          <w:marTop w:val="0"/>
          <w:marBottom w:val="0"/>
          <w:divBdr>
            <w:top w:val="none" w:sz="0" w:space="0" w:color="auto"/>
            <w:left w:val="none" w:sz="0" w:space="0" w:color="auto"/>
            <w:bottom w:val="none" w:sz="0" w:space="0" w:color="auto"/>
            <w:right w:val="none" w:sz="0" w:space="0" w:color="auto"/>
          </w:divBdr>
          <w:divsChild>
            <w:div w:id="2122912713">
              <w:marLeft w:val="0"/>
              <w:marRight w:val="0"/>
              <w:marTop w:val="0"/>
              <w:marBottom w:val="0"/>
              <w:divBdr>
                <w:top w:val="none" w:sz="0" w:space="0" w:color="auto"/>
                <w:left w:val="none" w:sz="0" w:space="0" w:color="auto"/>
                <w:bottom w:val="none" w:sz="0" w:space="0" w:color="auto"/>
                <w:right w:val="none" w:sz="0" w:space="0" w:color="auto"/>
              </w:divBdr>
              <w:divsChild>
                <w:div w:id="1394348860">
                  <w:marLeft w:val="0"/>
                  <w:marRight w:val="0"/>
                  <w:marTop w:val="0"/>
                  <w:marBottom w:val="0"/>
                  <w:divBdr>
                    <w:top w:val="none" w:sz="0" w:space="0" w:color="auto"/>
                    <w:left w:val="none" w:sz="0" w:space="0" w:color="auto"/>
                    <w:bottom w:val="none" w:sz="0" w:space="0" w:color="auto"/>
                    <w:right w:val="none" w:sz="0" w:space="0" w:color="auto"/>
                  </w:divBdr>
                  <w:divsChild>
                    <w:div w:id="1181747496">
                      <w:marLeft w:val="0"/>
                      <w:marRight w:val="0"/>
                      <w:marTop w:val="0"/>
                      <w:marBottom w:val="0"/>
                      <w:divBdr>
                        <w:top w:val="none" w:sz="0" w:space="0" w:color="auto"/>
                        <w:left w:val="none" w:sz="0" w:space="0" w:color="auto"/>
                        <w:bottom w:val="none" w:sz="0" w:space="0" w:color="auto"/>
                        <w:right w:val="none" w:sz="0" w:space="0" w:color="auto"/>
                      </w:divBdr>
                      <w:divsChild>
                        <w:div w:id="102590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5</Pages>
  <Words>1395</Words>
  <Characters>7958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aleksandar.bogojevski</cp:lastModifiedBy>
  <cp:revision>7</cp:revision>
  <dcterms:created xsi:type="dcterms:W3CDTF">2021-03-11T14:07:00Z</dcterms:created>
  <dcterms:modified xsi:type="dcterms:W3CDTF">2021-03-12T09:49:00Z</dcterms:modified>
</cp:coreProperties>
</file>